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B517" w14:textId="07775D98" w:rsidR="5915F8DF" w:rsidRDefault="5915F8DF" w:rsidP="353B79E1">
      <w:pPr>
        <w:rPr>
          <w:b/>
          <w:bCs/>
          <w:sz w:val="28"/>
          <w:szCs w:val="28"/>
        </w:rPr>
      </w:pPr>
      <w:r w:rsidRPr="353B79E1">
        <w:rPr>
          <w:b/>
          <w:bCs/>
          <w:sz w:val="28"/>
          <w:szCs w:val="28"/>
        </w:rPr>
        <w:t>Introduction</w:t>
      </w:r>
    </w:p>
    <w:p w14:paraId="4D15CD83" w14:textId="02B1FBFA" w:rsidR="5915F8DF" w:rsidRDefault="5915F8DF" w:rsidP="6F79C816">
      <w:r>
        <w:t xml:space="preserve">All Community Learning courses are funded by the </w:t>
      </w:r>
      <w:r w:rsidR="69095AFD">
        <w:t>Education and Skills Funding Agency (</w:t>
      </w:r>
      <w:r>
        <w:t>ESFA</w:t>
      </w:r>
      <w:r w:rsidR="3F20E722">
        <w:t>)</w:t>
      </w:r>
      <w:r>
        <w:t xml:space="preserve">. </w:t>
      </w:r>
      <w:r w:rsidR="62248BC6">
        <w:t xml:space="preserve">The aim of this funding is to focus public funding on people who are disadvantaged and least likely to participate in education, particularly those on low incomes with low skills. </w:t>
      </w:r>
      <w:r w:rsidR="2A083E6A">
        <w:t xml:space="preserve">The aim of Community Learning at Ruskin College is </w:t>
      </w:r>
      <w:r w:rsidR="4198FFD0">
        <w:t xml:space="preserve">to provide the best level of education and inclusion opportunities to adults – particularly those who may be excluded or disadvantaged – and to transform the individuals concerned along with the communities, groups and societies from which they came. </w:t>
      </w:r>
    </w:p>
    <w:p w14:paraId="129EC474" w14:textId="7EDEE951" w:rsidR="19FBCD29" w:rsidRDefault="19FBCD29" w:rsidP="353B79E1">
      <w:pPr>
        <w:rPr>
          <w:b/>
          <w:bCs/>
          <w:sz w:val="28"/>
          <w:szCs w:val="28"/>
        </w:rPr>
      </w:pPr>
      <w:r w:rsidRPr="353B79E1">
        <w:rPr>
          <w:b/>
          <w:bCs/>
          <w:sz w:val="28"/>
          <w:szCs w:val="28"/>
        </w:rPr>
        <w:t xml:space="preserve">What is Community Learning? </w:t>
      </w:r>
    </w:p>
    <w:p w14:paraId="7450B86D" w14:textId="030180BE" w:rsidR="04490410" w:rsidRDefault="04490410" w:rsidP="353B79E1">
      <w:r w:rsidRPr="353B79E1">
        <w:t xml:space="preserve">Community Learning is a </w:t>
      </w:r>
      <w:proofErr w:type="spellStart"/>
      <w:r w:rsidRPr="353B79E1">
        <w:t>programme</w:t>
      </w:r>
      <w:proofErr w:type="spellEnd"/>
      <w:r w:rsidRPr="353B79E1">
        <w:t xml:space="preserve"> of courses designed to develop the skills, confidence, motivation and resilience of adults of different ages and backgrounds in order to:</w:t>
      </w:r>
    </w:p>
    <w:p w14:paraId="40BED3CC" w14:textId="4468D962" w:rsidR="04490410" w:rsidRDefault="04490410" w:rsidP="353B79E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53B79E1">
        <w:t>progress towards formal learning or employment</w:t>
      </w:r>
    </w:p>
    <w:p w14:paraId="725AD003" w14:textId="0119205A" w:rsidR="04490410" w:rsidRDefault="04490410" w:rsidP="353B79E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53B79E1">
        <w:t>improve their health and well-being, including mental health</w:t>
      </w:r>
    </w:p>
    <w:p w14:paraId="19254B1E" w14:textId="52AE72D8" w:rsidR="04490410" w:rsidRDefault="04490410" w:rsidP="353B79E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53B79E1">
        <w:t>develop stronger communities</w:t>
      </w:r>
    </w:p>
    <w:p w14:paraId="7910D7DE" w14:textId="60D33A04" w:rsidR="2E895680" w:rsidRDefault="2E895680" w:rsidP="353B79E1">
      <w:r w:rsidRPr="082284E6">
        <w:t>Community Learning</w:t>
      </w:r>
      <w:r w:rsidR="7E5866B3" w:rsidRPr="082284E6">
        <w:t xml:space="preserve"> </w:t>
      </w:r>
      <w:r w:rsidR="0A34F13B" w:rsidRPr="082284E6">
        <w:t>is</w:t>
      </w:r>
      <w:r w:rsidR="7E5866B3" w:rsidRPr="082284E6">
        <w:t xml:space="preserve"> divided into the following</w:t>
      </w:r>
      <w:r w:rsidRPr="082284E6">
        <w:t xml:space="preserve"> 4 strands: </w:t>
      </w:r>
    </w:p>
    <w:p w14:paraId="48407FE2" w14:textId="38D2C9A8" w:rsidR="461A17E6" w:rsidRDefault="461A17E6" w:rsidP="353B79E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53B79E1">
        <w:t>Personal and Community Development Learning - learning for personal and community development, cultural enrichment, intellectual or creative stimulation and for enjoyment (in most cases not leading to a formal qualification)</w:t>
      </w:r>
    </w:p>
    <w:p w14:paraId="2BE8B501" w14:textId="7C9B3B03" w:rsidR="461A17E6" w:rsidRDefault="461A17E6" w:rsidP="353B79E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53B79E1">
        <w:t xml:space="preserve">Family English, </w:t>
      </w:r>
      <w:proofErr w:type="spellStart"/>
      <w:r w:rsidRPr="353B79E1">
        <w:t>Maths</w:t>
      </w:r>
      <w:proofErr w:type="spellEnd"/>
      <w:r w:rsidRPr="353B79E1">
        <w:t xml:space="preserve"> and Language </w:t>
      </w:r>
      <w:r w:rsidR="4FACDCEF" w:rsidRPr="353B79E1">
        <w:t>Learning</w:t>
      </w:r>
      <w:r w:rsidRPr="353B79E1">
        <w:t>- learning to improve the English, la</w:t>
      </w:r>
      <w:r w:rsidR="5DAAD94C" w:rsidRPr="353B79E1">
        <w:t xml:space="preserve">nguage </w:t>
      </w:r>
      <w:r w:rsidRPr="353B79E1">
        <w:t xml:space="preserve">and </w:t>
      </w:r>
      <w:proofErr w:type="spellStart"/>
      <w:r w:rsidRPr="353B79E1">
        <w:t>maths</w:t>
      </w:r>
      <w:proofErr w:type="spellEnd"/>
      <w:r w:rsidRPr="353B79E1">
        <w:t xml:space="preserve"> skills of parents, </w:t>
      </w:r>
      <w:proofErr w:type="spellStart"/>
      <w:r w:rsidRPr="353B79E1">
        <w:t>carers</w:t>
      </w:r>
      <w:proofErr w:type="spellEnd"/>
      <w:r w:rsidRPr="353B79E1">
        <w:t xml:space="preserve"> or guardians and their ability to help their children</w:t>
      </w:r>
    </w:p>
    <w:p w14:paraId="67DEF3DE" w14:textId="3C6993E7" w:rsidR="461A17E6" w:rsidRDefault="461A17E6" w:rsidP="353B79E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53B79E1">
        <w:t>Wider Family Learning - learning to help different generations of family members to learn together how to support their children’s learning</w:t>
      </w:r>
    </w:p>
    <w:p w14:paraId="3D701246" w14:textId="43C8D15E" w:rsidR="461A17E6" w:rsidRDefault="461A17E6" w:rsidP="353B79E1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 w:rsidRPr="353B79E1">
        <w:t>Neighbourhood</w:t>
      </w:r>
      <w:proofErr w:type="spellEnd"/>
      <w:r w:rsidRPr="353B79E1">
        <w:t xml:space="preserve"> Learning in Deprived Communities - supports local Voluntary and other third sector </w:t>
      </w:r>
      <w:proofErr w:type="spellStart"/>
      <w:r w:rsidRPr="353B79E1">
        <w:t>organisations</w:t>
      </w:r>
      <w:proofErr w:type="spellEnd"/>
      <w:r w:rsidRPr="353B79E1">
        <w:t xml:space="preserve"> to develop their capacity to deliver learning opportunities for the residents of disadvantaged </w:t>
      </w:r>
      <w:proofErr w:type="spellStart"/>
      <w:r w:rsidRPr="353B79E1">
        <w:t>neighbourhoods</w:t>
      </w:r>
      <w:proofErr w:type="spellEnd"/>
    </w:p>
    <w:p w14:paraId="164A4178" w14:textId="5FD02FCD" w:rsidR="353B79E1" w:rsidRDefault="353B79E1" w:rsidP="353B79E1"/>
    <w:p w14:paraId="61EB5CB0" w14:textId="1701FEED" w:rsidR="19FBCD29" w:rsidRDefault="19FBCD29" w:rsidP="353B79E1">
      <w:pPr>
        <w:rPr>
          <w:b/>
          <w:bCs/>
          <w:sz w:val="28"/>
          <w:szCs w:val="28"/>
        </w:rPr>
      </w:pPr>
      <w:r w:rsidRPr="353B79E1">
        <w:rPr>
          <w:b/>
          <w:bCs/>
          <w:sz w:val="28"/>
          <w:szCs w:val="28"/>
        </w:rPr>
        <w:t>What is Pound Plus?</w:t>
      </w:r>
    </w:p>
    <w:p w14:paraId="0151CCE2" w14:textId="1233B163" w:rsidR="09B6E865" w:rsidRDefault="09B6E865" w:rsidP="6F79C816">
      <w:r>
        <w:t xml:space="preserve">Pound Plus is additional income generated by education providers over and above the income </w:t>
      </w:r>
      <w:r w:rsidR="0590B638">
        <w:t>allocated</w:t>
      </w:r>
      <w:r>
        <w:t xml:space="preserve"> by the ESFA</w:t>
      </w:r>
      <w:r w:rsidR="067C80A6">
        <w:t xml:space="preserve"> </w:t>
      </w:r>
      <w:r>
        <w:t>Adult Education Budget.</w:t>
      </w:r>
      <w:r w:rsidR="064767C7">
        <w:t xml:space="preserve"> </w:t>
      </w:r>
      <w:r w:rsidR="62A9F4F7">
        <w:t>Th</w:t>
      </w:r>
      <w:r w:rsidR="5FF3BF5A">
        <w:t>e college will increase the value of core funding by</w:t>
      </w:r>
      <w:r w:rsidR="5575E939">
        <w:t xml:space="preserve"> accruing</w:t>
      </w:r>
      <w:r w:rsidR="62A9F4F7">
        <w:t xml:space="preserve"> income generated or savings made through course fees</w:t>
      </w:r>
      <w:r w:rsidR="22DAB066">
        <w:t xml:space="preserve">, working with partners </w:t>
      </w:r>
      <w:r w:rsidR="3A9A9CEA">
        <w:t xml:space="preserve">in the community to streamline provision and </w:t>
      </w:r>
      <w:r w:rsidR="6F9E83F8">
        <w:t xml:space="preserve">promote community learning as well as </w:t>
      </w:r>
      <w:r w:rsidR="4B699B79">
        <w:t xml:space="preserve">providing </w:t>
      </w:r>
      <w:r w:rsidR="62A9F4F7">
        <w:t>access to facilities made available at no or reduced costs</w:t>
      </w:r>
      <w:r w:rsidR="34C85BD2">
        <w:t xml:space="preserve">. </w:t>
      </w:r>
    </w:p>
    <w:p w14:paraId="55294202" w14:textId="3589C38C" w:rsidR="21E3F556" w:rsidRDefault="21E3F556" w:rsidP="353B79E1">
      <w:pPr>
        <w:rPr>
          <w:b/>
          <w:bCs/>
          <w:sz w:val="28"/>
          <w:szCs w:val="28"/>
        </w:rPr>
      </w:pPr>
      <w:r w:rsidRPr="353B79E1">
        <w:rPr>
          <w:b/>
          <w:bCs/>
          <w:sz w:val="28"/>
          <w:szCs w:val="28"/>
        </w:rPr>
        <w:t>Fee Remission Policy</w:t>
      </w:r>
    </w:p>
    <w:p w14:paraId="0E8BC4F2" w14:textId="2D1FEEF5" w:rsidR="430542BA" w:rsidRDefault="430542BA" w:rsidP="72B5C2F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The aim of Community Learning is to bring together people from diverse backgrounds, cultures and income groups. </w:t>
      </w:r>
      <w:r w:rsidR="21E3F556">
        <w:t xml:space="preserve">For provision of the ‘Community Learning’ </w:t>
      </w:r>
      <w:proofErr w:type="spellStart"/>
      <w:r w:rsidR="21E3F556">
        <w:t>programme</w:t>
      </w:r>
      <w:proofErr w:type="spellEnd"/>
      <w:r w:rsidR="21E3F556">
        <w:t xml:space="preserve"> we may ask some of our learners to provide a contribution towards the cost of their course.</w:t>
      </w:r>
      <w:r w:rsidR="002F487B">
        <w:t xml:space="preserve">  </w:t>
      </w:r>
      <w:r w:rsidR="21CA61ED" w:rsidRPr="72B5C2FA">
        <w:rPr>
          <w:rFonts w:ascii="Calibri" w:eastAsia="Calibri" w:hAnsi="Calibri" w:cs="Calibri"/>
          <w:color w:val="222222"/>
        </w:rPr>
        <w:t xml:space="preserve">The College will charge </w:t>
      </w:r>
      <w:r w:rsidR="21CA61ED" w:rsidRPr="72B5C2FA">
        <w:rPr>
          <w:rFonts w:ascii="Calibri" w:eastAsia="Calibri" w:hAnsi="Calibri" w:cs="Calibri"/>
          <w:color w:val="222222"/>
        </w:rPr>
        <w:lastRenderedPageBreak/>
        <w:t>a basic rate to those deemed able to pay or are not eligible for Community Learning ESFA funding</w:t>
      </w:r>
      <w:r w:rsidR="0879F27E" w:rsidRPr="72B5C2FA">
        <w:rPr>
          <w:rFonts w:ascii="Calibri" w:eastAsia="Calibri" w:hAnsi="Calibri" w:cs="Calibri"/>
          <w:color w:val="222222"/>
        </w:rPr>
        <w:t xml:space="preserve">. Those not eligible include </w:t>
      </w:r>
      <w:r w:rsidR="21CA61ED" w:rsidRPr="72B5C2FA">
        <w:rPr>
          <w:rFonts w:ascii="Calibri" w:eastAsia="Calibri" w:hAnsi="Calibri" w:cs="Calibri"/>
          <w:color w:val="222222"/>
        </w:rPr>
        <w:t>under 19s or anyone not been</w:t>
      </w:r>
      <w:r w:rsidR="0E74AFDB" w:rsidRPr="72B5C2FA">
        <w:rPr>
          <w:rFonts w:ascii="Calibri" w:eastAsia="Calibri" w:hAnsi="Calibri" w:cs="Calibri"/>
          <w:color w:val="222222"/>
        </w:rPr>
        <w:t xml:space="preserve"> resident</w:t>
      </w:r>
      <w:r w:rsidR="21CA61ED" w:rsidRPr="72B5C2FA">
        <w:rPr>
          <w:rFonts w:ascii="Calibri" w:eastAsia="Calibri" w:hAnsi="Calibri" w:cs="Calibri"/>
          <w:color w:val="222222"/>
        </w:rPr>
        <w:t xml:space="preserve"> in the UK for at least three years</w:t>
      </w:r>
      <w:r w:rsidR="581E2254" w:rsidRPr="72B5C2FA">
        <w:rPr>
          <w:rFonts w:ascii="Calibri" w:eastAsia="Calibri" w:hAnsi="Calibri" w:cs="Calibri"/>
          <w:color w:val="222222"/>
        </w:rPr>
        <w:t>, (</w:t>
      </w:r>
      <w:r w:rsidR="3A592DF1" w:rsidRPr="72B5C2FA">
        <w:rPr>
          <w:rFonts w:ascii="Calibri" w:eastAsia="Calibri" w:hAnsi="Calibri" w:cs="Calibri"/>
          <w:color w:val="222222"/>
        </w:rPr>
        <w:t>except for</w:t>
      </w:r>
      <w:r w:rsidR="7BCAFDA8" w:rsidRPr="72B5C2FA">
        <w:rPr>
          <w:rFonts w:ascii="Calibri" w:eastAsia="Calibri" w:hAnsi="Calibri" w:cs="Calibri"/>
          <w:color w:val="222222"/>
        </w:rPr>
        <w:t xml:space="preserve"> </w:t>
      </w:r>
      <w:r w:rsidR="495F6F74" w:rsidRPr="72B5C2FA">
        <w:rPr>
          <w:rFonts w:ascii="Calibri" w:eastAsia="Calibri" w:hAnsi="Calibri" w:cs="Calibri"/>
          <w:color w:val="222222"/>
        </w:rPr>
        <w:t xml:space="preserve">those </w:t>
      </w:r>
      <w:r w:rsidR="013803EA" w:rsidRPr="72B5C2FA">
        <w:rPr>
          <w:rFonts w:ascii="Calibri" w:eastAsia="Calibri" w:hAnsi="Calibri" w:cs="Calibri"/>
          <w:color w:val="222222"/>
        </w:rPr>
        <w:t xml:space="preserve">who are part of the </w:t>
      </w:r>
      <w:r w:rsidR="6DE251D7" w:rsidRPr="72B5C2FA">
        <w:rPr>
          <w:rFonts w:ascii="Calibri" w:eastAsia="Calibri" w:hAnsi="Calibri" w:cs="Calibri"/>
          <w:color w:val="222222"/>
        </w:rPr>
        <w:t xml:space="preserve">Homes for Ukraine, Ukraine Family Scheme and </w:t>
      </w:r>
      <w:r w:rsidR="013803EA" w:rsidRPr="72B5C2FA">
        <w:rPr>
          <w:rFonts w:ascii="Calibri" w:eastAsia="Calibri" w:hAnsi="Calibri" w:cs="Calibri"/>
          <w:color w:val="222222"/>
        </w:rPr>
        <w:t>Ukraine Extension Scheme</w:t>
      </w:r>
      <w:r w:rsidR="21CA61ED" w:rsidRPr="72B5C2FA">
        <w:rPr>
          <w:rFonts w:ascii="Calibri" w:eastAsia="Calibri" w:hAnsi="Calibri" w:cs="Calibri"/>
          <w:color w:val="222222"/>
        </w:rPr>
        <w:t>)</w:t>
      </w:r>
      <w:r w:rsidR="66B2894E" w:rsidRPr="72B5C2FA">
        <w:rPr>
          <w:rFonts w:ascii="Calibri" w:eastAsia="Calibri" w:hAnsi="Calibri" w:cs="Calibri"/>
          <w:color w:val="222222"/>
        </w:rPr>
        <w:t>.</w:t>
      </w:r>
      <w:r w:rsidR="21E3F556">
        <w:t xml:space="preserve"> </w:t>
      </w:r>
      <w:r w:rsidR="75612D45">
        <w:t>To ensure participation</w:t>
      </w:r>
      <w:r w:rsidR="37AF42E0">
        <w:t xml:space="preserve"> and encourage applications from all backgrounds</w:t>
      </w:r>
      <w:r w:rsidR="75612D45">
        <w:t>, t</w:t>
      </w:r>
      <w:r w:rsidR="21E3F556">
        <w:t>he rate for the 202</w:t>
      </w:r>
      <w:r w:rsidR="4F83E659">
        <w:t>2</w:t>
      </w:r>
      <w:r w:rsidR="21E3F556">
        <w:t>-2</w:t>
      </w:r>
      <w:r w:rsidR="05F95E21">
        <w:t>3</w:t>
      </w:r>
      <w:r w:rsidR="21E3F556">
        <w:t xml:space="preserve"> academic year is £</w:t>
      </w:r>
      <w:r w:rsidR="06112643">
        <w:t>2</w:t>
      </w:r>
      <w:r w:rsidR="21E3F556">
        <w:t>5.00</w:t>
      </w:r>
      <w:r w:rsidR="28B87F4C">
        <w:t>,</w:t>
      </w:r>
      <w:r w:rsidR="21E3F556">
        <w:t xml:space="preserve"> </w:t>
      </w:r>
      <w:r w:rsidR="2A9AA09F">
        <w:t>regardless of the type or length of the course</w:t>
      </w:r>
      <w:r w:rsidR="21E3F556">
        <w:t xml:space="preserve">. </w:t>
      </w:r>
      <w:r w:rsidR="4C41DA8F">
        <w:t>Fee liable on</w:t>
      </w:r>
      <w:r w:rsidR="21E3F556">
        <w:t xml:space="preserve"> enrolment</w:t>
      </w:r>
      <w:r w:rsidR="487C3F18">
        <w:t>.</w:t>
      </w:r>
      <w:r w:rsidR="21E3F556">
        <w:t xml:space="preserve">  </w:t>
      </w:r>
    </w:p>
    <w:p w14:paraId="7D3B4EFD" w14:textId="762444CE" w:rsidR="21E3F556" w:rsidRDefault="21E3F556" w:rsidP="6F79C816">
      <w:r>
        <w:t xml:space="preserve">As part of our ‘Pound </w:t>
      </w:r>
      <w:proofErr w:type="spellStart"/>
      <w:r>
        <w:t>Plus’</w:t>
      </w:r>
      <w:proofErr w:type="spellEnd"/>
      <w:r>
        <w:t xml:space="preserve"> commitment, the College will fully waive fees for learners in receipt of one of the following benefits: </w:t>
      </w:r>
    </w:p>
    <w:p w14:paraId="55254B0E" w14:textId="75770E86" w:rsidR="21E3F556" w:rsidRDefault="21E3F556" w:rsidP="353B79E1">
      <w:pPr>
        <w:rPr>
          <w:b/>
          <w:bCs/>
        </w:rPr>
      </w:pPr>
      <w:r w:rsidRPr="353B79E1">
        <w:rPr>
          <w:b/>
          <w:bCs/>
        </w:rPr>
        <w:t xml:space="preserve">Job Seekers Allowance </w:t>
      </w:r>
    </w:p>
    <w:p w14:paraId="192D163C" w14:textId="532C15BC" w:rsidR="21E3F556" w:rsidRDefault="21E3F556" w:rsidP="353B79E1">
      <w:pPr>
        <w:rPr>
          <w:b/>
          <w:bCs/>
        </w:rPr>
      </w:pPr>
      <w:r w:rsidRPr="353B79E1">
        <w:rPr>
          <w:b/>
          <w:bCs/>
        </w:rPr>
        <w:t xml:space="preserve">Employment Support Allowance  </w:t>
      </w:r>
    </w:p>
    <w:p w14:paraId="5EE48CD1" w14:textId="7CFAD3BD" w:rsidR="21E3F556" w:rsidRDefault="21E3F556" w:rsidP="353B79E1">
      <w:pPr>
        <w:rPr>
          <w:b/>
          <w:bCs/>
        </w:rPr>
      </w:pPr>
      <w:r w:rsidRPr="353B79E1">
        <w:rPr>
          <w:b/>
          <w:bCs/>
        </w:rPr>
        <w:t xml:space="preserve">Income Support  </w:t>
      </w:r>
    </w:p>
    <w:p w14:paraId="41B567DE" w14:textId="73A99DC7" w:rsidR="21E3F556" w:rsidRDefault="21E3F556" w:rsidP="353B79E1">
      <w:pPr>
        <w:rPr>
          <w:b/>
          <w:bCs/>
        </w:rPr>
      </w:pPr>
      <w:r w:rsidRPr="72B5C2FA">
        <w:rPr>
          <w:b/>
          <w:bCs/>
        </w:rPr>
        <w:t xml:space="preserve">Universal Credit  </w:t>
      </w:r>
    </w:p>
    <w:p w14:paraId="06A3DDB6" w14:textId="393A01FD" w:rsidR="25F49B30" w:rsidRDefault="25F49B30" w:rsidP="72B5C2FA">
      <w:pPr>
        <w:rPr>
          <w:b/>
          <w:bCs/>
        </w:rPr>
      </w:pPr>
      <w:r w:rsidRPr="72B5C2FA">
        <w:rPr>
          <w:b/>
          <w:bCs/>
        </w:rPr>
        <w:t>Other credits</w:t>
      </w:r>
    </w:p>
    <w:p w14:paraId="09FF28DA" w14:textId="31138B7D" w:rsidR="73E1D487" w:rsidRDefault="73E1D487" w:rsidP="6F79C816">
      <w:r>
        <w:t xml:space="preserve">At the discretion of </w:t>
      </w:r>
      <w:r w:rsidR="2BEA7A5C">
        <w:t>Ruskin College</w:t>
      </w:r>
      <w:r>
        <w:t>, o</w:t>
      </w:r>
      <w:r w:rsidR="21E3F556">
        <w:t xml:space="preserve">ther learners may also be exempt from fees. These may include </w:t>
      </w:r>
      <w:r w:rsidR="050BFF8A">
        <w:t>full-time</w:t>
      </w:r>
      <w:r w:rsidR="21E3F556">
        <w:t xml:space="preserve"> </w:t>
      </w:r>
      <w:proofErr w:type="spellStart"/>
      <w:r w:rsidR="21E3F556">
        <w:t>carers</w:t>
      </w:r>
      <w:proofErr w:type="spellEnd"/>
      <w:r w:rsidR="21E3F556">
        <w:t xml:space="preserve"> of adults, refugees and asylum seekers, care leavers,</w:t>
      </w:r>
      <w:r w:rsidR="1B6C6250">
        <w:t xml:space="preserve"> </w:t>
      </w:r>
      <w:r w:rsidR="21E3F556">
        <w:t>members of the GRT community,</w:t>
      </w:r>
      <w:r w:rsidR="6F849AB0">
        <w:t xml:space="preserve"> </w:t>
      </w:r>
      <w:r w:rsidR="21E3F556">
        <w:t xml:space="preserve"> homeless residents or those at risk of homelessness.  This is not an exhaustive list</w:t>
      </w:r>
      <w:r w:rsidR="44B888D6">
        <w:t xml:space="preserve"> and applicants</w:t>
      </w:r>
      <w:r w:rsidR="21E3F556">
        <w:t xml:space="preserve"> who think they may be eligible for fee exemption should contact the </w:t>
      </w:r>
      <w:r w:rsidR="0DBD2A08">
        <w:t xml:space="preserve">Community Learning Team </w:t>
      </w:r>
      <w:r w:rsidR="21E3F556">
        <w:t>directly.</w:t>
      </w:r>
    </w:p>
    <w:p w14:paraId="696E924D" w14:textId="00605EF8" w:rsidR="6F79C816" w:rsidRDefault="6F79C816" w:rsidP="6F79C816"/>
    <w:p w14:paraId="48CC7CD3" w14:textId="1D5343D8" w:rsidR="6F79C816" w:rsidRDefault="31C54B65" w:rsidP="082284E6">
      <w:pPr>
        <w:rPr>
          <w:b/>
          <w:bCs/>
          <w:sz w:val="28"/>
          <w:szCs w:val="28"/>
        </w:rPr>
      </w:pPr>
      <w:r w:rsidRPr="082284E6">
        <w:rPr>
          <w:b/>
          <w:bCs/>
          <w:sz w:val="28"/>
          <w:szCs w:val="28"/>
        </w:rPr>
        <w:t>Monitoring  and Enhancement</w:t>
      </w:r>
    </w:p>
    <w:p w14:paraId="708E49AF" w14:textId="6D27502F" w:rsidR="6F79C816" w:rsidRDefault="31C54B65" w:rsidP="6F79C816">
      <w:r>
        <w:t>Ruskin College will carry out regular reviews of provision through our quality and self-assessment processes</w:t>
      </w:r>
      <w:r w:rsidR="5482AC61">
        <w:t>.</w:t>
      </w:r>
    </w:p>
    <w:sectPr w:rsidR="6F79C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65D3" w14:textId="77777777" w:rsidR="00B64528" w:rsidRDefault="00B64528">
      <w:pPr>
        <w:spacing w:after="0" w:line="240" w:lineRule="auto"/>
      </w:pPr>
      <w:r>
        <w:separator/>
      </w:r>
    </w:p>
  </w:endnote>
  <w:endnote w:type="continuationSeparator" w:id="0">
    <w:p w14:paraId="2A69287C" w14:textId="77777777" w:rsidR="00B64528" w:rsidRDefault="00B6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8D6A" w14:textId="77777777" w:rsidR="00060BB4" w:rsidRDefault="00060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22DB" w14:textId="77777777" w:rsidR="00060BB4" w:rsidRDefault="00060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3B79E1" w14:paraId="442BA00E" w14:textId="77777777" w:rsidTr="353B79E1">
      <w:tc>
        <w:tcPr>
          <w:tcW w:w="3120" w:type="dxa"/>
        </w:tcPr>
        <w:p w14:paraId="01538422" w14:textId="02CD6B90" w:rsidR="353B79E1" w:rsidRDefault="353B79E1" w:rsidP="353B79E1">
          <w:pPr>
            <w:pStyle w:val="Header"/>
            <w:ind w:left="-115"/>
          </w:pPr>
        </w:p>
      </w:tc>
      <w:tc>
        <w:tcPr>
          <w:tcW w:w="3120" w:type="dxa"/>
        </w:tcPr>
        <w:p w14:paraId="0C3D608D" w14:textId="7FC9E776" w:rsidR="353B79E1" w:rsidRDefault="353B79E1" w:rsidP="353B79E1">
          <w:pPr>
            <w:pStyle w:val="Header"/>
            <w:jc w:val="center"/>
          </w:pPr>
        </w:p>
      </w:tc>
      <w:tc>
        <w:tcPr>
          <w:tcW w:w="3120" w:type="dxa"/>
        </w:tcPr>
        <w:p w14:paraId="3B2036E6" w14:textId="742171F2" w:rsidR="353B79E1" w:rsidRDefault="353B79E1" w:rsidP="353B79E1">
          <w:pPr>
            <w:pStyle w:val="Header"/>
            <w:ind w:right="-115"/>
            <w:jc w:val="right"/>
          </w:pPr>
        </w:p>
      </w:tc>
    </w:tr>
  </w:tbl>
  <w:p w14:paraId="06D70EA6" w14:textId="66261582" w:rsidR="353B79E1" w:rsidRDefault="353B79E1" w:rsidP="353B7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724C" w14:textId="77777777" w:rsidR="00B64528" w:rsidRDefault="00B64528">
      <w:pPr>
        <w:spacing w:after="0" w:line="240" w:lineRule="auto"/>
      </w:pPr>
      <w:r>
        <w:separator/>
      </w:r>
    </w:p>
  </w:footnote>
  <w:footnote w:type="continuationSeparator" w:id="0">
    <w:p w14:paraId="3C6BB02C" w14:textId="77777777" w:rsidR="00B64528" w:rsidRDefault="00B6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3220" w14:textId="77777777" w:rsidR="00060BB4" w:rsidRDefault="00060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9F53" w14:textId="09DE9937" w:rsidR="6F79C816" w:rsidRDefault="00071545" w:rsidP="00071545">
    <w:pPr>
      <w:pStyle w:val="Header"/>
      <w:jc w:val="center"/>
      <w:rPr>
        <w:b/>
        <w:bCs/>
        <w:sz w:val="36"/>
        <w:szCs w:val="36"/>
      </w:rPr>
    </w:pPr>
    <w:r w:rsidRPr="00071545">
      <w:rPr>
        <w:b/>
        <w:bCs/>
        <w:sz w:val="36"/>
        <w:szCs w:val="36"/>
      </w:rPr>
      <w:t>Community Learning Pound Plus and fee Remission Policy</w:t>
    </w:r>
    <w:r w:rsidR="00060BB4">
      <w:rPr>
        <w:b/>
        <w:bCs/>
        <w:sz w:val="36"/>
        <w:szCs w:val="36"/>
      </w:rPr>
      <w:t xml:space="preserve">: </w:t>
    </w:r>
    <w:r w:rsidRPr="00071545">
      <w:rPr>
        <w:b/>
        <w:bCs/>
        <w:sz w:val="36"/>
        <w:szCs w:val="36"/>
      </w:rPr>
      <w:t>Academic Year 2022/23</w:t>
    </w:r>
  </w:p>
  <w:p w14:paraId="415E6481" w14:textId="77777777" w:rsidR="00C74C62" w:rsidRPr="00071545" w:rsidRDefault="00C74C62" w:rsidP="00071545">
    <w:pPr>
      <w:pStyle w:val="Header"/>
      <w:jc w:val="center"/>
      <w:rPr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3B79E1" w14:paraId="732FECC6" w14:textId="77777777" w:rsidTr="353B79E1">
      <w:tc>
        <w:tcPr>
          <w:tcW w:w="3120" w:type="dxa"/>
        </w:tcPr>
        <w:p w14:paraId="6C1C6D22" w14:textId="3DD38946" w:rsidR="353B79E1" w:rsidRDefault="353B79E1" w:rsidP="353B79E1">
          <w:pPr>
            <w:pStyle w:val="Header"/>
            <w:ind w:left="-115"/>
          </w:pPr>
        </w:p>
      </w:tc>
      <w:tc>
        <w:tcPr>
          <w:tcW w:w="3120" w:type="dxa"/>
        </w:tcPr>
        <w:p w14:paraId="7B2699D9" w14:textId="4E7F8F3E" w:rsidR="353B79E1" w:rsidRDefault="353B79E1" w:rsidP="353B79E1">
          <w:pPr>
            <w:pStyle w:val="Header"/>
            <w:jc w:val="center"/>
          </w:pPr>
        </w:p>
      </w:tc>
      <w:tc>
        <w:tcPr>
          <w:tcW w:w="3120" w:type="dxa"/>
        </w:tcPr>
        <w:p w14:paraId="78999FBD" w14:textId="6E3235FD" w:rsidR="353B79E1" w:rsidRDefault="353B79E1" w:rsidP="353B79E1">
          <w:pPr>
            <w:pStyle w:val="Header"/>
            <w:ind w:right="-115"/>
            <w:jc w:val="right"/>
          </w:pPr>
        </w:p>
      </w:tc>
    </w:tr>
  </w:tbl>
  <w:p w14:paraId="5011ADE5" w14:textId="169F3415" w:rsidR="353B79E1" w:rsidRDefault="353B79E1" w:rsidP="353B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770"/>
    <w:multiLevelType w:val="hybridMultilevel"/>
    <w:tmpl w:val="4610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75FE"/>
    <w:multiLevelType w:val="hybridMultilevel"/>
    <w:tmpl w:val="FFFFFFFF"/>
    <w:lvl w:ilvl="0" w:tplc="825A5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41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6D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2B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2F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22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8B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4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21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0036"/>
    <w:multiLevelType w:val="hybridMultilevel"/>
    <w:tmpl w:val="FFFFFFFF"/>
    <w:lvl w:ilvl="0" w:tplc="6FC45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0D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4C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20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00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42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60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0F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69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19F601"/>
    <w:rsid w:val="00060BB4"/>
    <w:rsid w:val="00071545"/>
    <w:rsid w:val="002F487B"/>
    <w:rsid w:val="00B64528"/>
    <w:rsid w:val="00C74C62"/>
    <w:rsid w:val="00CD1B19"/>
    <w:rsid w:val="00D23F14"/>
    <w:rsid w:val="00EC6111"/>
    <w:rsid w:val="00F14DB6"/>
    <w:rsid w:val="00FC5A92"/>
    <w:rsid w:val="013803EA"/>
    <w:rsid w:val="014328CF"/>
    <w:rsid w:val="04220815"/>
    <w:rsid w:val="04490410"/>
    <w:rsid w:val="050BFF8A"/>
    <w:rsid w:val="0590B638"/>
    <w:rsid w:val="05F95E21"/>
    <w:rsid w:val="06112643"/>
    <w:rsid w:val="064767C7"/>
    <w:rsid w:val="067C80A6"/>
    <w:rsid w:val="073D4E2D"/>
    <w:rsid w:val="07FD4366"/>
    <w:rsid w:val="082284E6"/>
    <w:rsid w:val="0879F27E"/>
    <w:rsid w:val="09253941"/>
    <w:rsid w:val="09B6E865"/>
    <w:rsid w:val="0A34F13B"/>
    <w:rsid w:val="0D571D28"/>
    <w:rsid w:val="0DBD2A08"/>
    <w:rsid w:val="0DC1E48D"/>
    <w:rsid w:val="0E74AFDB"/>
    <w:rsid w:val="10D852F8"/>
    <w:rsid w:val="111722C9"/>
    <w:rsid w:val="11A145BD"/>
    <w:rsid w:val="1233E72F"/>
    <w:rsid w:val="12B2F32A"/>
    <w:rsid w:val="133D161E"/>
    <w:rsid w:val="13E8DFED"/>
    <w:rsid w:val="152BEED2"/>
    <w:rsid w:val="15E59684"/>
    <w:rsid w:val="15F49C32"/>
    <w:rsid w:val="163541BF"/>
    <w:rsid w:val="16AACFDD"/>
    <w:rsid w:val="16C7BF33"/>
    <w:rsid w:val="17429C4E"/>
    <w:rsid w:val="17F1C261"/>
    <w:rsid w:val="18638F94"/>
    <w:rsid w:val="196CE281"/>
    <w:rsid w:val="19FBCD29"/>
    <w:rsid w:val="1B08B2E2"/>
    <w:rsid w:val="1B18CA5C"/>
    <w:rsid w:val="1B6C6250"/>
    <w:rsid w:val="1BA2113A"/>
    <w:rsid w:val="1BDAC975"/>
    <w:rsid w:val="1CC5C273"/>
    <w:rsid w:val="1EB9A8BB"/>
    <w:rsid w:val="20599FA9"/>
    <w:rsid w:val="20D7AA12"/>
    <w:rsid w:val="21A1FD8B"/>
    <w:rsid w:val="21CA61ED"/>
    <w:rsid w:val="21E3F556"/>
    <w:rsid w:val="225F76F5"/>
    <w:rsid w:val="22DAB066"/>
    <w:rsid w:val="25F49B30"/>
    <w:rsid w:val="2653530F"/>
    <w:rsid w:val="26C8E12D"/>
    <w:rsid w:val="27F816B2"/>
    <w:rsid w:val="284B8931"/>
    <w:rsid w:val="2864B18E"/>
    <w:rsid w:val="28B87F4C"/>
    <w:rsid w:val="2A083E6A"/>
    <w:rsid w:val="2A9AA09F"/>
    <w:rsid w:val="2BEA7A5C"/>
    <w:rsid w:val="2BF97142"/>
    <w:rsid w:val="2C4120E9"/>
    <w:rsid w:val="2D2096C4"/>
    <w:rsid w:val="2E5226D0"/>
    <w:rsid w:val="2E895680"/>
    <w:rsid w:val="2EA7B83E"/>
    <w:rsid w:val="2ED658F2"/>
    <w:rsid w:val="2EE5F790"/>
    <w:rsid w:val="2F75537D"/>
    <w:rsid w:val="3108327A"/>
    <w:rsid w:val="31C54B65"/>
    <w:rsid w:val="32651532"/>
    <w:rsid w:val="33E7A2D9"/>
    <w:rsid w:val="34C85BD2"/>
    <w:rsid w:val="353B79E1"/>
    <w:rsid w:val="36726A1B"/>
    <w:rsid w:val="367DAB0C"/>
    <w:rsid w:val="36ADAE17"/>
    <w:rsid w:val="37842BB3"/>
    <w:rsid w:val="37AF42E0"/>
    <w:rsid w:val="381BE97E"/>
    <w:rsid w:val="39B7B9DF"/>
    <w:rsid w:val="39F2348D"/>
    <w:rsid w:val="3A592DF1"/>
    <w:rsid w:val="3A9A9CEA"/>
    <w:rsid w:val="3C1A034E"/>
    <w:rsid w:val="3DF2C814"/>
    <w:rsid w:val="3F20E722"/>
    <w:rsid w:val="3F7B9CFA"/>
    <w:rsid w:val="4198FFD0"/>
    <w:rsid w:val="430542BA"/>
    <w:rsid w:val="437FEE76"/>
    <w:rsid w:val="44B888D6"/>
    <w:rsid w:val="44E631BF"/>
    <w:rsid w:val="45ACC857"/>
    <w:rsid w:val="45E4B19C"/>
    <w:rsid w:val="461A17E6"/>
    <w:rsid w:val="461ACA99"/>
    <w:rsid w:val="46B78F38"/>
    <w:rsid w:val="47B69AFA"/>
    <w:rsid w:val="486C576A"/>
    <w:rsid w:val="487C3F18"/>
    <w:rsid w:val="495F6F74"/>
    <w:rsid w:val="4B699B79"/>
    <w:rsid w:val="4B7CDA26"/>
    <w:rsid w:val="4C3DBDD6"/>
    <w:rsid w:val="4C41DA8F"/>
    <w:rsid w:val="4C57B7B4"/>
    <w:rsid w:val="4DD98E37"/>
    <w:rsid w:val="4E9B8D50"/>
    <w:rsid w:val="4F83E659"/>
    <w:rsid w:val="4FACDCEF"/>
    <w:rsid w:val="5055ED7B"/>
    <w:rsid w:val="512B20A4"/>
    <w:rsid w:val="51F1BDDC"/>
    <w:rsid w:val="5254EC1E"/>
    <w:rsid w:val="5390AAD3"/>
    <w:rsid w:val="5482AC61"/>
    <w:rsid w:val="5498E4FB"/>
    <w:rsid w:val="54F03B19"/>
    <w:rsid w:val="5575E939"/>
    <w:rsid w:val="568C0B7A"/>
    <w:rsid w:val="5719F601"/>
    <w:rsid w:val="581E2254"/>
    <w:rsid w:val="5915F8DF"/>
    <w:rsid w:val="5AF41E89"/>
    <w:rsid w:val="5D44E20C"/>
    <w:rsid w:val="5DAAD94C"/>
    <w:rsid w:val="5DD77424"/>
    <w:rsid w:val="5DF07B4F"/>
    <w:rsid w:val="5F8C4BB0"/>
    <w:rsid w:val="5FF3BF5A"/>
    <w:rsid w:val="60778AA0"/>
    <w:rsid w:val="607C5242"/>
    <w:rsid w:val="6163600D"/>
    <w:rsid w:val="62248BC6"/>
    <w:rsid w:val="62A9F4F7"/>
    <w:rsid w:val="62DB58FF"/>
    <w:rsid w:val="66B2894E"/>
    <w:rsid w:val="68C123DA"/>
    <w:rsid w:val="69095AFD"/>
    <w:rsid w:val="691077C4"/>
    <w:rsid w:val="69252C00"/>
    <w:rsid w:val="6AF119F6"/>
    <w:rsid w:val="6BA04009"/>
    <w:rsid w:val="6C503AFD"/>
    <w:rsid w:val="6CF68775"/>
    <w:rsid w:val="6DE251D7"/>
    <w:rsid w:val="6E28BAB8"/>
    <w:rsid w:val="6EC74804"/>
    <w:rsid w:val="6ED7E0CB"/>
    <w:rsid w:val="6F79C816"/>
    <w:rsid w:val="6F849AB0"/>
    <w:rsid w:val="6F9E83F8"/>
    <w:rsid w:val="70D07C8F"/>
    <w:rsid w:val="72B5C2FA"/>
    <w:rsid w:val="7398B0A4"/>
    <w:rsid w:val="73E1D487"/>
    <w:rsid w:val="746A6742"/>
    <w:rsid w:val="754DB25B"/>
    <w:rsid w:val="75612D45"/>
    <w:rsid w:val="773FBE13"/>
    <w:rsid w:val="779C4688"/>
    <w:rsid w:val="7A1D6091"/>
    <w:rsid w:val="7B9DA118"/>
    <w:rsid w:val="7BCAFDA8"/>
    <w:rsid w:val="7BDD1639"/>
    <w:rsid w:val="7C132F36"/>
    <w:rsid w:val="7CAAFBA7"/>
    <w:rsid w:val="7D9773AA"/>
    <w:rsid w:val="7E5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9F601"/>
  <w15:chartTrackingRefBased/>
  <w15:docId w15:val="{DCD81803-DB39-4725-8D71-8EC783C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Lonergan</dc:creator>
  <cp:keywords/>
  <dc:description/>
  <cp:lastModifiedBy>Samuel Morgan</cp:lastModifiedBy>
  <cp:revision>5</cp:revision>
  <dcterms:created xsi:type="dcterms:W3CDTF">2022-09-05T12:25:00Z</dcterms:created>
  <dcterms:modified xsi:type="dcterms:W3CDTF">2022-09-05T12:26:00Z</dcterms:modified>
</cp:coreProperties>
</file>